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Компетенция Совета директоров ПАО «</w:t>
      </w:r>
      <w:r>
        <w:rPr>
          <w:b/>
          <w:sz w:val="24"/>
          <w:szCs w:val="24"/>
          <w:lang w:val="ru-RU"/>
        </w:rPr>
        <w:t xml:space="preserve">Россети</w:t>
      </w:r>
      <w:r>
        <w:rPr>
          <w:b/>
          <w:sz w:val="24"/>
          <w:szCs w:val="24"/>
          <w:lang w:val="ru-RU"/>
        </w:rPr>
        <w:t xml:space="preserve"> Северо-Запад» </w:t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ind w:firstLine="540"/>
        <w:jc w:val="both"/>
        <w:rPr>
          <w:sz w:val="24"/>
          <w:szCs w:val="24"/>
          <w:lang w:val="ru-RU"/>
        </w:rPr>
      </w:pPr>
      <w:r/>
      <w:bookmarkStart w:id="0" w:name="_GoBack"/>
      <w:r/>
      <w:bookmarkEnd w:id="0"/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 соответствии с п. 15.1 ст. 15 Устава ПАО «</w:t>
      </w:r>
      <w:r>
        <w:rPr>
          <w:b/>
          <w:sz w:val="24"/>
          <w:szCs w:val="24"/>
          <w:lang w:val="ru-RU"/>
        </w:rPr>
        <w:t xml:space="preserve">Россети</w:t>
      </w:r>
      <w:r>
        <w:rPr>
          <w:b/>
          <w:sz w:val="24"/>
          <w:szCs w:val="24"/>
          <w:lang w:val="ru-RU"/>
        </w:rPr>
        <w:t xml:space="preserve"> Северо-Запад», </w:t>
      </w:r>
      <w:r>
        <w:rPr>
          <w:sz w:val="24"/>
          <w:szCs w:val="24"/>
          <w:lang w:val="ru-RU"/>
        </w:rPr>
        <w:t xml:space="preserve">утвержденного решением Общего собрания акционеров </w:t>
      </w:r>
      <w:r>
        <w:rPr>
          <w:sz w:val="24"/>
          <w:szCs w:val="24"/>
          <w:lang w:val="ru-RU"/>
        </w:rPr>
        <w:t xml:space="preserve">Общества</w:t>
      </w:r>
      <w:r>
        <w:rPr>
          <w:sz w:val="24"/>
          <w:szCs w:val="24"/>
          <w:lang w:val="ru-RU"/>
        </w:rPr>
        <w:t xml:space="preserve"> 19.06.2025 (протокол № 21)</w:t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ind w:left="142"/>
        <w:jc w:val="center"/>
        <w:tabs>
          <w:tab w:val="left" w:pos="567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_648"/>
        <w:jc w:val="left"/>
        <w:tabs>
          <w:tab w:val="left" w:pos="1080" w:leader="none"/>
          <w:tab w:val="clear" w:pos="1134" w:leader="none"/>
        </w:tabs>
        <w:rPr>
          <w:rFonts w:ascii="Times New Roman" w:hAnsi="Times New Roman" w:cs="Times New Roman"/>
          <w:spacing w:val="-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К компетенции Совета директоров Общества относятся следующие вопросы: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определение при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оритетных направлений деятельности Общества, включая предварительное рассмотрение, утверждение стратегии развития Общества, в том числе изменений в нее, программы (скорректированной программы) инновационного развития, рассмотрение отчетов об их исполнении;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-11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одобрение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инвестиционной программы Общества, в том числе изменений в нее</w:t>
      </w:r>
      <w:r>
        <w:rPr>
          <w:rStyle w:val="819"/>
          <w:rFonts w:ascii="Times New Roman" w:hAnsi="Times New Roman" w:eastAsia="Times New Roman" w:cs="Times New Roman"/>
          <w:spacing w:val="-2"/>
          <w:sz w:val="24"/>
          <w:szCs w:val="24"/>
        </w:rPr>
        <w:footnoteReference w:id="2"/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-11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рассмотрение отчета об исполнении инвестиционной программы Общества (за первый квартал, первое полугодие, девять месяцев, отчетный год);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проведение годового и внеочередного заседаний Общего собрания акционеров Общества либо заочного голосования, за исключением случаев, предусмотренных пунктом 14.7 статьи 14 настоящего Устава;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утверждение повестки дня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заседания или заочного голосования для принятия решений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Общим собранием акционеров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избрание Секретаря Общего собрания акционеров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установление даты определения (фиксации) лиц, имеющих право голоса при принятии решений Общим собранием акционеров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бщества, утверждение сметы затрат на проведение заседания Общего собрания акционеров Общества или заочного голосования, и другие вопросы, связанные с подготовкой к заседанию или заочному голосованию и принятием решений Общим собранием акционеров Общества;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вынесение на решение Общего собрания акционеров Общества вопросов, предусмотренных подпунктами 2, 5, 7, 8, 12-21, 24 пункта 10.2. статьи 10 настоящего Устава, о ликвидации Общества и о назначении ликвидационной комиссии, об уменьшении уставного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капитала Общества путем уменьшения номинальной стоимости акций, а также об установлении даты, на которую определяются лица, имеющие право на получение дивидендов;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размещение Обществом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дополнительных акций, в которые конвертируются размещенные Обществом привилегированные акции определенного типа, конвертируемые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в обыкновенные акции или привилегированные акции иных типов,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размещение Обществом облигаций и иных эмиссионных ценных бумаг, за исключением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акций, а также выпуск еврооблигаций и определение политики Общества в части выпуска эмиссионных ценных бумаг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(за исключением акций) и еврооблигаций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spacing w:line="238" w:lineRule="auto"/>
        <w:widowControl w:val="off"/>
        <w:tabs>
          <w:tab w:val="num" w:pos="993" w:leader="none"/>
          <w:tab w:val="clear" w:pos="121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утверждение решения о выпуске акций Общества, эмиссионных ценных бумаг Общества, конвертируемых в его акции,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документа, содержащего условия размещения акций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Общества и эмиссионных ценных бумаг Общества, конвертируемых в его акции, проспекта ценных бумаг, отчетов об итогах приобретения акций у акционеров Общества, отчетов об итогах погашения акций, отчетов об итогах предъявления акционерами Общества требований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 выкупе принадлежащих им акций; принятие решения о принятии оферт (акцепте) о приобретении дополнительных акций, размещаемых по открытой подписке после окончания срока действия преимущественного права, в случаях, определяемых Советом директоров Общества;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определение цены (денежной оценки) имущества, цены размещения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 порядка ее определения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цены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выкупа эмиссионных ценных бумаг в случаях, предусмотренных Федеральным законом «Об акционерных обществах»;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77"/>
        <w:jc w:val="both"/>
        <w:spacing w:line="238" w:lineRule="auto"/>
        <w:widowControl w:val="off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приобретение размещенных Обществом акций, облигаций и иных ценных бумаг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br/>
        <w:t xml:space="preserve">в случаях, предусмотренных Федеральным законом «Об акционерных обществах»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или иными федеральными законами;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-11"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отчуждение (реализация) акций Общества, поступивших в распоряжение Общества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br/>
        <w:t xml:space="preserve">в результате их приобретения или выкупа у акционеров Общества, а также в иных случаях, предусмотренных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«Об акционерных обществах»;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-11"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 избрание Генерального директора Общества, досрочное прекращение его полномочий, в том числе принятие решения о досрочном прекращении трудового договора с ним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-11"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определение количественного состава Правления Общества, а также избрание членов Правления Общества и досрочное прекращение их полномочий, в том числе принятие решения о досрочном прекращении трудовых договоров с ними;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-11"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утверждение условий трудового договора с Генеральным директором Общества, членами Правления Общества, установление размеров вознаграждений и компенсаций, выплачиваемых Генеральному директору Общества и членам Правления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-11"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согласование совмещения Генеральным директором Общества и членами Правления Общества должностей в органах управления других организаций, а также иных оплачиваемых должностей в других организациях;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-11"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рекомендации Общему собранию акционеров Общества по размеру выплачиваемых членам Ревизионной комиссии Общества вознаграждений и компенсаций;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-11"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определение размера оплаты услуг аудиторской организации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-11"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рекомендации Общему собранию акционеров Общества по размеру дивиденда по акциям Общества и порядку его выплаты;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-11"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утверждение внутренних документов Общества, определяющих порядок формирования и использования фондов Общества, принятие решения об использовании фондов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-11"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утверждение внутр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енних документов Общества, за исключением внутренних документов, утверждение которых отнесено к компетенции Общего собрания акционеров Общества, а также иных внутренних документов, утверждение которых отнесено к компетенции исполнительных органов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-11"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утверждение бизнес-плана Общества (скорректированного бизнес-плана Общества) и рассмотрение ежеквартального отчета об исполнении бизнес-плана Общества (за первый квартал, первое полугодие, девять месяцев, отчетный год);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создание филиалов и открытие представительств Общества, их ликвидация;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принятие решений об участии Общества в других организациях (в том числе согласование учредительных документов и кандидатур в органы управления вновь создавае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мых организаций), изменении доли участия (количества акций, размера паев, долей), обременении акций, долей, и прекращении участия Общества в других организациях, за исключением случаев, предусмотренных подпунктом 19 пункта 10.2 статьи 10 настоящего Устава;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определение кредитной политики Общества в части выдачи Обществом ссуд, заключения кредитных договоро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в и договоров займа, выдачи поручительств, выдачи независимых гарантий, принятия обязательств по векселю (выдача простого и переводного векселя), передачи имущества в залог, и принятие решений о совершении Обществом указанных сделок в случаях, когда порядо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к принятия решений по ним не определен кредитной политикой Общества, а также принятие в порядке, предусмотренном кредитной политикой Общества, решений о приведении долговой позиции Общества в соответствие лимитам, установленным кредитной политикой Общества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принятие решений о согласии на совершение или о последующем одобрении крупных сделок, а также утверждение заключений о таких сделках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в случаях, предусмотренных главой X Федерального закона «Об акционерных обществах»;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принятие решений о согласии на совершение или о последующем одобрении сделок, в совершении которых имеется заинтересованность, в случаях, предусмотренных главой XI Федерального закона «Об акционерных обществах»;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pStyle w:val="67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утверждение отчета о заключенных Обществом в отчетном году сделках, в совершении которых имеется заинтересованность;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утверждение регистратора Общества, условий договора с ним, а также расторжение договора с ним;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избрание Председателя Совета директоров Общества, прекращение его полномочий;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избрание Корпоративного секретаря Общества, прекращение его полномочий; утверждение Положения о Корпоративном секретаре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принятие решения о приостановлении полномочий управляющей организации (управляющего);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принятие решения о назначении исполняющего обязанности Генерального директора Общества в случаях, определяемых отдельными решениями Совета директоров Общества, а также привлечение его к дисциплинарной ответственности;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привлечение Генерального директора Об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щества и членов Правления Общества к дисциплинарной ответственности и их поощрение в соответствии с трудовым законодательством Российской Федерации, принятие решения о выдвижении Генерального директора Общества для представления к государственным наградам;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рассмотрение отчетов Генерального директора Общества о деятельности Общества (в том числе о выполнении им своих должностных обязанностей), о выполнении решений Общего собрания акционеров Общества и Совета директоров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firstLine="43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определение позиции Общества (представителей Общества) по следующим вопросам, выносимым на рассмотрение советов директоров и общих собраний акционеров (участников) дочерних и зависимых обществ (далее – ДЗО):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а)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ab/>
        <w:t xml:space="preserve">реорганизация, ликвидация ДЗО;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б)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ab/>
        <w:t xml:space="preserve">выдвижение, избрание членов органов управления и контроля ДЗО и досрочное прекращение их полномочий, выдвижение, избрание единоличного исполнительного органа ДЗО и досрочное прекращение его полномочий;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в) определение количества, номинальной стоимости, категории (типа) объявленных акций ДЗО и прав, предоставляемых этими акциями;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г)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ab/>
        <w:t xml:space="preserve">увеличение уставного капитала ДЗО путем увеличения номинальной стоимости акций или путем размещения дополнительных акций;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д)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ab/>
        <w:t xml:space="preserve">размещение ценных бумаг ДЗО, конвертируемых в обыкновенные акции ДЗО;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е)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ab/>
        <w:t xml:space="preserve">дробление, консолидация акций ДЗО;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ж)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ab/>
        <w:t xml:space="preserve">принятие решений о согласии на совершение или о последующем одобрении крупных сделок, совершаемых ДЗО;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з)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ab/>
        <w:t xml:space="preserve">принятие решений об участии ДЗО в других организациях (в том числе согласование кандидатур в органы управления вновь создаваемых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организаций), а также о приобретении, отчуждении и обременении акций и долей в уставных капиталах организаций, в которых участвует ДЗО, изменении доли участия в уставном капитале соответствующей организации и прекращении участия ДЗО в других организациях;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993" w:leader="none"/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и)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ab/>
        <w:t xml:space="preserve">принятие решений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о совершении ДЗО сделок (включая несколько взаимосвязанных сделок), связанных с приобретением, отчуждением или возможностью отчуждения имущества, составляющего основные средства, нематериальные активы, объекты незавершенного строительства, целью использов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ания которых является производство, передача, диспетчирование, распределение электрической энергии, в случаях (размерах), определяемых порядком взаимодействия Общества с организациями, в которых участвует Общество, утверждаемым Советом директоров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993" w:leader="none"/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к)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ab/>
        <w:t xml:space="preserve">внесение изменений и дополнений в учредительные документы ДЗО;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993" w:leader="none"/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л)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ab/>
        <w:t xml:space="preserve">определение порядка выплаты вознаграждений членам совета директоров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br/>
        <w:t xml:space="preserve">и ревизионной комиссии ДЗО;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993" w:leader="none"/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м)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ab/>
        <w:t xml:space="preserve">утверждение ключевых показателей эффективности и функциональных ключевых показателей эффективности руководящего состава ДЗО, их порядка расчета, целевых значений, а также отчетов об их достижении;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993" w:leader="none"/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н)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утверждени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бизнес-планов (скорректированных бизнес-планов) ДЗО, осуществляющих деятельность по передаче, производству или продаже электроэнергии, или выручка которых составляет более 5 (Пяти) процентов от выручки Общества за последний завершившийся отчетный период;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993" w:leader="none"/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о)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рассмотрение 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четов об исполнении за отчетный год бизнес-планов ДЗО, осуществляющих деятельность по передаче, производству или продаже электроэнергии, или выручка которых составляет более 5 (Пяти) процентов от выручки Общества за последний завершившийся отчетный период;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567" w:leader="none"/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п)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утверждение распределения прибыли и убытков по результатам отчетного года;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993" w:leader="none"/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р)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рекомендации по размеру дивиденда по акциям и порядку его выплаты;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993" w:leader="none"/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с)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выплата (объявление) дивидендов по результатам первого квартала, полугодия, девяти месяцев отчетного года, а также по результатам отчетного года;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993" w:leader="none"/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т)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уменьшение уставного капитала ДЗО путем уменьшения номинальной стоимости акций, путем приобретения ДЗО части акций в целях сокращения их общего количества,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а также путем погашения приобретенных или выкупленных ДЗО акций;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у)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определение кредитной политики ДЗО в части выдачи ДЗО ссуд, заключения кредитных договоров и договоров займа, выдачи поручительств, выдачи независим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ых гарантий, принятия обязательств по векселю (выдача простого и переводного векселя), передачи имущества в залог и принятие решений о совершении ДЗО указанных сделок в случаях, когда порядок принятия решений по ним не определен кредитной политикой ДЗО, 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также принятие в порядке, предусмотренном кредитной политикой ДЗО, решений о приведении долговой позиции ДЗО в соответствие лимитам, установленным кредитной политикой ДЗО, о рассмотрении отчета о кредитной политике ДЗО, об утверждении кредитного плана ДЗО;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определение позиции Общества (представителей Общества) по следующим вопросам, выносимым на рассмотрение советов директоров ДЗО: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а)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ab/>
        <w:t xml:space="preserve">об определении позиции представителей ДЗО по вопросам выносимым на рассмотрение советов директоров и общих собраний акционеров (участников) обществ, дочерних и зависимых по отношению к ДЗО, касающимся совершения (одобрения) сделок (включая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несколько взаимосвязанных сделок), связанных с приобретением, отчуждением или возможностью отчуждения имущества, составляющего основные средства, нематериальные активы, объекты незавершенного строительства, целью использования кот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орых является производство, передача, диспетчирование, распределение электрической энергии, в случаях (размерах), определяемых порядком взаимодействия Общества с организациями, в которых участвует Общество, утверждаемым решением Совета директоров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б)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ab/>
        <w:t xml:space="preserve">об определении позиции представителей ДЗО по вопросам выносимым на рассмотрение советов директоров и </w:t>
      </w:r>
      <w:bookmarkStart w:id="0" w:name="undefined"/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общих собраний акционеров (участников) </w:t>
      </w:r>
      <w:bookmarkEnd w:id="0"/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обществ, дочерних и зависимых по отношению к ДЗО, осуществляющих производство, передачу, диспетчирование, распределе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ние и сбыт электрической энергии, о реорганизации, ликвидации, увеличении уставного капитала таких обществ путем увеличения номинальной стоимости акций или путем размещения дополнительных акций, размещении ценных бумаг, конвертируемых в обыкновенные акции;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принятие решений о согласии на совершение Обществом: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а)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сделок, предметом которых являются внеоборотные активы Общества в размере свыше 10 (Десяти) процентов балансовой стоимости этих (внеоборотных) активов Общества по данным бухгалтерской (финансовой) отчетности на последнюю отчетную дату;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б)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ab/>
        <w:t xml:space="preserve">сделок (включая несколько взаимосвязанных сделок), связанных с приобрете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нием, отчуждением или возможностью отчуждения имущества, составляющего основные средства, нематериальные активы, объекты незавершенного строительства, целью использования которых является производство, передача, диспетчирование, распределение электрической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br/>
        <w:t xml:space="preserve">энергии в случаях (размерах), определяемых отдельными решениями Совета директоров Общества,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либо, если указанные случаи (размеры) Советом директоров Общества не определены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в)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сделок (включая несколько взаимосвязанных сделок), связанных с приобретением, отчуждением или возможностью отчуждения имущества, составляющего основные средства, немате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риальные активы, объекты незавершенного строительства, целью использования которых не является производство, передача, диспетчирование, распределение электрической энергии в случаях (размерах), определяемых отдельными решениями Совета директоров Общества,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либо, если указанные случаи (размеры) Советом директоров Общества не определены;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г)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сделок на срок более 5 (Пяти) лет, связанных с передачей во временное владение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и пользование или во временное пользование недвижимости, объектов электросетевого хозяйства или с приемом во временное владение и пользование или во временное пользование объектов недвижимости, в случаях (размерах), определяемых отдельными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решениями Совета директоров Общества, либо, если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указанные случаи (размеры) Советом директоров Общества не определены;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д) сделок, которые могут повлечь возникновение обязательств, выраженных в иностранной валюте (либо обязательств, величина которых привязывается к иностранной валюте), сделок с производными финансовыми инструментами, в случаях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размерах, определяемых отдельными решениями Совета директоров Общества, а также, если указанные случаи (размеры) Советом директоров Общества не определены, определение политики Общества в части совершения сделок с производными финансовыми инструментами;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е) одной или нескольких взаимосвязанных сделок, связанных с приобретением или возможностью приобретения Обществом инвестиционных паев паевого инвестиционного фонда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и/или облигаций, в случае если цена такой сделки или нескольких взаимосвязанных сделок составляет 1 (Один) и более процентов балансовой стоимости активов Общества, определенной по данным его бухгалтерской (финансовой) отчетности на последнюю отчетную дату;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ж) сделок, связанных с безвозмездной передачей имущества Общества или имущественных прав (требований) к себе или к третьему лицу, сделок, связанных с освобождением от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имущественной обязанности перед собой или перед третьим лицом, сделок, связанных с безвозмездным оказан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ием Обществом услуг (выполнением работ) третьим лицам в случаях (размерах), определяемых отдельными решениями Совета директоров Общества, и принятие решений о совершении Обществом данных сделок в случаях, когда вышеуказанные случаи (размеры) не определены;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з) сделок,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связанных с оказанием Обществом спонсорской поддержки в случаях (размерах), определяемых отдельными решениями Совета директоров Общества, и принятие решений о совершении Обществом данных сделок в случаях, когда вышеуказанные случаи (размеры) не определены;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и) одной или нескольких взаимосвязанных сделок, связанных с передачей или возможностью передачи Обществом в доверительное управление имущества на сумму более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br/>
        <w:t xml:space="preserve">1 000 000 000 (Одного миллиарда) рублей;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выдвижение Обществом кандидатур для избрания на должность единоличного исполнительного органа, в иные органы управления, органы контроля, а также кандидатуры аудиторской организации (индивидуального аудитора) организаций, в которых участвует Общество;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pStyle w:val="67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утверждение порядка взаимодействия Общества с организациями, в которых участвует Общество;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определение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политики Общества в области страхования, осуществление контроля обеспечения страховой защиты Общества, в том числе утверждение кандидатур страховщиков Общества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утверждение организационной структуры исполнительного аппарата Общества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и внесение изменений в нее;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утверждение положения об оплате труда и материальном стимулировании должностных лиц руководящего состава Общества, утверждение перечня должностных лиц руководящего состава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согласование кандидатур на отдельные должности исполнительного аппарата Общества, определенные Советом директоров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предварительное одобрение коллективного договора, соглашений, заключаемых Обществом в рамках регулирования социально-трудовых отношений, а также утверждение документов по негосударственному пенсионному обеспечению работников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формирование Комитетов Совета директ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оров Общества, утверждение внутренних документов, которыми определяются их компетенция и порядок деятельности, определение их количественного состава, избрание Председателя и членов Комитета Совета директоров Общества и досрочное прекращение их полномочий;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426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утверждение кандидатур организаторов выпуска ценных бумаг и консультантов по сделкам, непосредственно связанным с привлечением средств в форме публичных заимствований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426" w:leader="none"/>
          <w:tab w:val="num" w:pos="567" w:leader="none"/>
          <w:tab w:val="clear" w:pos="121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определение закупочной политики в Обществе, в том числе утверждение положения о закупке, утверждение р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уководителя Центрального закупочного органа Общества, рассмотрение отчета о закупках Общества по результатам полугодия, а также принятие иных решений в соответствии с утвержденными в Обществе документами, регламентирующими закупочную деятельность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утверждение ключевых показателей эффективности и функциональных ключевых показателей эффективности руководящего состава Общества, порядка их расчета, целевых значений и отчетов об их достижении;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определение политики Общества в части повышения надежности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 распределительного комплекса электрических сетей и иных объектов электросетевого хозяйства, в том числе утверждение стратегических программ Общества по повышению надежности электросетевого комплекса, развития электросетевого комплекса и его безопасности;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определение политики Общества в части повышения доступности электросетевой инфраструктуры, в том числе утверждение стратегических программ Общества по повышению доступности услуг по технологическому присоединению и развитию электросетевого комплекса;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определение жилищной политики Общества в части предоставления работникам Общества корпо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  <w:t xml:space="preserve">ративной поддержки в улучшении жилищных условий в виде субсидии, компенсации затрат, беспроцентных займов и принятия решения о предоставлении Обществом указанной поддержки в случаях, когда порядок ее предоставления не определен жилищной политикой Общества;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обращение с заявлением о листинге акций Общества и (или) эмиссионных ценных бумаг Общества, конвертируемых в акции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опре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деление принципов и подходов к организации системы управления рисками и внутреннего контроля в Обществе, в том числе утверждение внутренних документов Общества, определяющих политики Общества в области организации управления рисками и внутреннего контроля;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определение принципов и подходов к организации внутреннего аудита, в том числе утверждение внутренних документов Общества, определяющих политику Общества в области организации внутреннего аудита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оценка ключевых рисков (как финансовых, так и нефинансовых рисков), а также установление приемлемой величины рисков для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организация проведения 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реже 1 (Одного) раза в год анализа и оценки функционирования системы управления рисками и внутреннего контроля, в том числе на основе данных отчетов, регулярно получаемых от исполнительных органов Общества, внутреннего аудита и внешних аудиторов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num" w:pos="709" w:leader="none"/>
          <w:tab w:val="left" w:pos="1080" w:leader="none"/>
          <w:tab w:val="clear" w:pos="121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ежегодное рассмотрение вопросов организации, функционирования и эффективности системы управления рисками и внутреннего контроля;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ль и организация деятельности внутреннего аудита, в том числе одобрение положения о подразделении внутреннего аудита, утверждение плана деятельности внутреннего аудита, отчета о выполнении плана деятельности внутреннего аудита и бюджета внутреннего аудита,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предварительное одобрение решения Генерального директора Общества о назначении, освобождении от должности (не по инициативе работника) руководителя структурного подразделения, ответственного за организацию и осуществление внутреннего аудита, применении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нему дисциплинарных взысканий, а также утверждение условий трудового договора с руководителем структурного подразделения, ответственного за организацию и осуществление внутреннего аудита, рассмотрение результатов оценки качества функции внутреннего аудита;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рекомендации исполнительным органам Общества по любым вопросам деятельности Общества;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определение информационной политики Общества и рассмотрение отчетности Генерального директора Общества о ее исполнении;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Программы отчуждения непрофильных активов Общества, утверждение реестра непрофильных активов Общества и принятие иных решений в соответствии с утвержденными в Обществе документами, регламентирующими процедуру распоряжения непрофильными активами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утверждение годового отчета в области корпоративной социальной ответственности и устойчивого развития;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утверждение антикоррупционной политики Общества и отчетов о ее реализации;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урегулирование внутренних корпоративных конфликтов;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определение статуса членов Совета директоров Общества, а также рассмотрение результатов самооценки и независимой оценки деятельности Совета директоров Общества и комитетов Совета директоров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принятие решения об одобрении: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а) договора о внесении акционером (акционерами) безвозмездных вкладов в имущество Общества, которые не увеличивают уставный капитал Общества и не изменяют номинальную стоимость акций Общества, в целях финансирования и поддержания деятельности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договора о внесении Обществом безвозмездных вкладов в имущество обществ, в уставном капитале которых участвует Общество, в денежной или иной форме, которые не увеличивают уставный капитал указанных обществ и (или) не изменяют номинальную стоимость акций;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принятие решения о приостановлении выплаты Обществом дивидендов в случаях, предусмотренных Федеральным законом «Об акционерных обществах»;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numPr>
          <w:ilvl w:val="0"/>
          <w:numId w:val="2"/>
        </w:numPr>
        <w:ind w:left="0" w:firstLine="567"/>
        <w:jc w:val="both"/>
        <w:spacing w:line="238" w:lineRule="auto"/>
        <w:widowControl w:val="off"/>
        <w:tabs>
          <w:tab w:val="left" w:pos="1080" w:leader="none"/>
        </w:tabs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иные вопросы, отнесенные к компетенции Совета директоров Общества Федеральным законом «Об акционерных обществах» и настоящим Уставом.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567"/>
        <w:jc w:val="center"/>
        <w:widowControl w:val="off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17"/>
        <w:jc w:val="both"/>
        <w:rPr>
          <w:rFonts w:ascii="Tahoma" w:hAnsi="Tahoma" w:cs="Tahoma"/>
          <w:sz w:val="18"/>
          <w:szCs w:val="18"/>
        </w:rPr>
      </w:pPr>
      <w:r>
        <w:rPr>
          <w:rStyle w:val="819"/>
        </w:rPr>
        <w:footnoteRef/>
      </w:r>
      <w:r>
        <w:t xml:space="preserve"> </w:t>
      </w:r>
      <w:r>
        <w:rPr>
          <w:rFonts w:ascii="Tahoma" w:hAnsi="Tahoma" w:cs="Tahoma"/>
          <w:sz w:val="18"/>
          <w:szCs w:val="18"/>
        </w:rPr>
        <w:t xml:space="preserve">Данный вопрос подлежит обязательному рассмотрению Советом директоров Общества до опубликования информации о проекте инвестиционной программы субъекта электроэнергетики и об обосновывающих ее материалах.</w: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0" w:firstLine="720"/>
        <w:tabs>
          <w:tab w:val="num" w:pos="1210" w:leader="none"/>
        </w:tabs>
      </w:pPr>
      <w:rPr>
        <w:rFonts w:hint="default"/>
        <w:b w:val="0"/>
        <w:i w:val="0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0" w:firstLine="720"/>
        <w:tabs>
          <w:tab w:val="num" w:pos="1210" w:leader="none"/>
        </w:tabs>
      </w:pPr>
      <w:rPr>
        <w:rFonts w:hint="default"/>
        <w:b w:val="0"/>
        <w:i w:val="0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5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1_648" w:customStyle="1">
    <w:name w:val="Body Text Indent"/>
    <w:basedOn w:val="909"/>
    <w:link w:val="1108"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tabs>
        <w:tab w:val="left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Анна Юрьевна</dc:creator>
  <cp:keywords/>
  <dc:description/>
  <cp:lastModifiedBy>spb01644</cp:lastModifiedBy>
  <cp:revision>7</cp:revision>
  <dcterms:created xsi:type="dcterms:W3CDTF">2022-11-07T08:27:00Z</dcterms:created>
  <dcterms:modified xsi:type="dcterms:W3CDTF">2025-09-05T10:27:23Z</dcterms:modified>
</cp:coreProperties>
</file>